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9E2107" w:rsidRPr="00A578AF">
        <w:rPr>
          <w:rFonts w:cs="Arial"/>
          <w:sz w:val="28"/>
          <w:szCs w:val="28"/>
        </w:rPr>
        <w:t>Druckmaschinen</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9E2107" w:rsidRPr="00CA4F42" w:rsidTr="009E2107">
        <w:tc>
          <w:tcPr>
            <w:tcW w:w="2466" w:type="dxa"/>
            <w:vAlign w:val="center"/>
          </w:tcPr>
          <w:p w:rsidR="009E2107" w:rsidRPr="00FE6928" w:rsidRDefault="009E2107" w:rsidP="00E73945">
            <w:pPr>
              <w:pStyle w:val="IQB-Merkmal"/>
            </w:pPr>
            <w:r w:rsidRPr="00FE6928">
              <w:t>Leitidee</w:t>
            </w:r>
          </w:p>
        </w:tc>
        <w:tc>
          <w:tcPr>
            <w:tcW w:w="6604" w:type="dxa"/>
          </w:tcPr>
          <w:p w:rsidR="009E2107" w:rsidRPr="00FE6928" w:rsidRDefault="009E2107" w:rsidP="00E73945">
            <w:pPr>
              <w:pStyle w:val="IQB-Merkmalswert"/>
            </w:pPr>
            <w:r w:rsidRPr="00FE6928">
              <w:t>4. Funktionaler Zusammenhang</w:t>
            </w:r>
          </w:p>
        </w:tc>
      </w:tr>
      <w:tr w:rsidR="009E2107" w:rsidRPr="00CA4F42" w:rsidTr="009E2107">
        <w:tc>
          <w:tcPr>
            <w:tcW w:w="2466" w:type="dxa"/>
            <w:vAlign w:val="center"/>
          </w:tcPr>
          <w:p w:rsidR="009E2107" w:rsidRPr="00FE6928" w:rsidRDefault="009E2107" w:rsidP="00E73945">
            <w:pPr>
              <w:pStyle w:val="IQB-Merkmal"/>
            </w:pPr>
            <w:r w:rsidRPr="00FE6928">
              <w:t>Allgemeine Kompetenzen</w:t>
            </w:r>
          </w:p>
        </w:tc>
        <w:tc>
          <w:tcPr>
            <w:tcW w:w="6604" w:type="dxa"/>
          </w:tcPr>
          <w:p w:rsidR="009E2107" w:rsidRPr="00FE6928" w:rsidRDefault="009E2107" w:rsidP="00E73945">
            <w:pPr>
              <w:pStyle w:val="IQB-Merkmalswert"/>
            </w:pPr>
            <w:r>
              <w:t>Mathematisch modellieren (K3)</w:t>
            </w:r>
          </w:p>
          <w:p w:rsidR="009E2107" w:rsidRPr="00FE6928" w:rsidRDefault="009E2107" w:rsidP="00E73945">
            <w:pPr>
              <w:pStyle w:val="IQB-Merkmalswert"/>
            </w:pPr>
            <w:r>
              <w:t>Mit symbolischen, formalen und technischen Elementen der Mathematik umg</w:t>
            </w:r>
            <w:r>
              <w:t>e</w:t>
            </w:r>
            <w:r>
              <w:t>hen (K5)</w:t>
            </w:r>
          </w:p>
        </w:tc>
      </w:tr>
      <w:tr w:rsidR="009E2107" w:rsidRPr="00CA4F42" w:rsidTr="009E2107">
        <w:tc>
          <w:tcPr>
            <w:tcW w:w="2466" w:type="dxa"/>
            <w:vAlign w:val="center"/>
          </w:tcPr>
          <w:p w:rsidR="009E2107" w:rsidRPr="00FE6928" w:rsidRDefault="009E2107" w:rsidP="00E73945">
            <w:pPr>
              <w:pStyle w:val="IQB-Merkmal"/>
            </w:pPr>
            <w:r w:rsidRPr="00FE6928">
              <w:t>Anforderungsbereich</w:t>
            </w:r>
          </w:p>
        </w:tc>
        <w:tc>
          <w:tcPr>
            <w:tcW w:w="6604" w:type="dxa"/>
          </w:tcPr>
          <w:p w:rsidR="009E2107" w:rsidRPr="00FE6928" w:rsidRDefault="009E2107" w:rsidP="00E73945">
            <w:pPr>
              <w:pStyle w:val="IQB-Merkmalswert"/>
            </w:pPr>
            <w:r w:rsidRPr="00FE6928">
              <w:t>I</w:t>
            </w:r>
          </w:p>
        </w:tc>
      </w:tr>
      <w:tr w:rsidR="009E2107" w:rsidRPr="00CA4F42" w:rsidTr="009E2107">
        <w:tc>
          <w:tcPr>
            <w:tcW w:w="2466" w:type="dxa"/>
            <w:vAlign w:val="center"/>
          </w:tcPr>
          <w:p w:rsidR="009E2107" w:rsidRPr="00FE6928" w:rsidRDefault="009E2107" w:rsidP="00E73945">
            <w:pPr>
              <w:pStyle w:val="IQB-Merkmal"/>
            </w:pPr>
            <w:r w:rsidRPr="00FE6928">
              <w:t>Kompetenzstufe</w:t>
            </w:r>
          </w:p>
        </w:tc>
        <w:tc>
          <w:tcPr>
            <w:tcW w:w="6604" w:type="dxa"/>
          </w:tcPr>
          <w:p w:rsidR="009E2107" w:rsidRPr="00FE6928" w:rsidRDefault="009E2107" w:rsidP="00E73945">
            <w:pPr>
              <w:pStyle w:val="IQB-Merkmalswert"/>
            </w:pPr>
            <w:r w:rsidRPr="00FE6928">
              <w:t>1b</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9E2107" w:rsidRPr="00CA4F42" w:rsidTr="009E2107">
        <w:tc>
          <w:tcPr>
            <w:tcW w:w="2466" w:type="dxa"/>
            <w:vAlign w:val="center"/>
          </w:tcPr>
          <w:p w:rsidR="009E2107" w:rsidRPr="00FE6928" w:rsidRDefault="009E2107" w:rsidP="00E73945">
            <w:pPr>
              <w:pStyle w:val="IQB-Merkmal"/>
            </w:pPr>
            <w:r w:rsidRPr="00FE6928">
              <w:t>Leitidee</w:t>
            </w:r>
          </w:p>
        </w:tc>
        <w:tc>
          <w:tcPr>
            <w:tcW w:w="6604" w:type="dxa"/>
          </w:tcPr>
          <w:p w:rsidR="009E2107" w:rsidRPr="00FE6928" w:rsidRDefault="009E2107" w:rsidP="00E73945">
            <w:pPr>
              <w:pStyle w:val="IQB-Merkmalswert"/>
            </w:pPr>
            <w:r w:rsidRPr="00FE6928">
              <w:t>4. Funktionaler Zusammenhang</w:t>
            </w:r>
          </w:p>
        </w:tc>
      </w:tr>
      <w:tr w:rsidR="009E2107" w:rsidRPr="00CA4F42" w:rsidTr="009E2107">
        <w:tc>
          <w:tcPr>
            <w:tcW w:w="2466" w:type="dxa"/>
            <w:vAlign w:val="center"/>
          </w:tcPr>
          <w:p w:rsidR="009E2107" w:rsidRPr="00FE6928" w:rsidRDefault="009E2107" w:rsidP="00E73945">
            <w:pPr>
              <w:pStyle w:val="IQB-Merkmal"/>
            </w:pPr>
            <w:r w:rsidRPr="00FE6928">
              <w:t>Allgemeine Kompetenzen</w:t>
            </w:r>
          </w:p>
        </w:tc>
        <w:tc>
          <w:tcPr>
            <w:tcW w:w="6604" w:type="dxa"/>
          </w:tcPr>
          <w:p w:rsidR="009E2107" w:rsidRPr="00FE6928" w:rsidRDefault="009E2107" w:rsidP="00E73945">
            <w:pPr>
              <w:pStyle w:val="IQB-Merkmalswert"/>
            </w:pPr>
            <w:r>
              <w:t>Mathematisch modellieren (K3)</w:t>
            </w:r>
          </w:p>
          <w:p w:rsidR="009E2107" w:rsidRPr="00FE6928" w:rsidRDefault="009E2107" w:rsidP="00E73945">
            <w:pPr>
              <w:pStyle w:val="IQB-Merkmalswert"/>
            </w:pPr>
            <w:r>
              <w:t>Mit symbolischen, formalen und technischen Elementen der Mathematik umg</w:t>
            </w:r>
            <w:r>
              <w:t>e</w:t>
            </w:r>
            <w:r>
              <w:t>hen (K5)</w:t>
            </w:r>
          </w:p>
        </w:tc>
      </w:tr>
      <w:tr w:rsidR="009E2107" w:rsidRPr="00CA4F42" w:rsidTr="009E2107">
        <w:tc>
          <w:tcPr>
            <w:tcW w:w="2466" w:type="dxa"/>
            <w:vAlign w:val="center"/>
          </w:tcPr>
          <w:p w:rsidR="009E2107" w:rsidRPr="00FE6928" w:rsidRDefault="009E2107" w:rsidP="00E73945">
            <w:pPr>
              <w:pStyle w:val="IQB-Merkmal"/>
            </w:pPr>
            <w:r w:rsidRPr="00FE6928">
              <w:t>Anforderungsbereich</w:t>
            </w:r>
          </w:p>
        </w:tc>
        <w:tc>
          <w:tcPr>
            <w:tcW w:w="6604" w:type="dxa"/>
          </w:tcPr>
          <w:p w:rsidR="009E2107" w:rsidRPr="00FE6928" w:rsidRDefault="009E2107" w:rsidP="00E73945">
            <w:pPr>
              <w:pStyle w:val="IQB-Merkmalswert"/>
            </w:pPr>
            <w:r w:rsidRPr="00FE6928">
              <w:t>I</w:t>
            </w:r>
          </w:p>
        </w:tc>
      </w:tr>
      <w:tr w:rsidR="009E2107" w:rsidRPr="00CA4F42" w:rsidTr="009E2107">
        <w:tc>
          <w:tcPr>
            <w:tcW w:w="2466" w:type="dxa"/>
            <w:vAlign w:val="center"/>
          </w:tcPr>
          <w:p w:rsidR="009E2107" w:rsidRPr="00FE6928" w:rsidRDefault="009E2107" w:rsidP="00E73945">
            <w:pPr>
              <w:pStyle w:val="IQB-Merkmal"/>
            </w:pPr>
            <w:r w:rsidRPr="00FE6928">
              <w:t>Kompetenzstufe</w:t>
            </w:r>
          </w:p>
        </w:tc>
        <w:tc>
          <w:tcPr>
            <w:tcW w:w="6604" w:type="dxa"/>
          </w:tcPr>
          <w:p w:rsidR="009E2107" w:rsidRPr="00FE6928" w:rsidRDefault="009E2107" w:rsidP="00E73945">
            <w:pPr>
              <w:pStyle w:val="IQB-Merkmalswert"/>
            </w:pPr>
            <w:r w:rsidRPr="00FE6928">
              <w:t>1a</w:t>
            </w:r>
          </w:p>
        </w:tc>
      </w:tr>
    </w:tbl>
    <w:p w:rsidR="00694A63" w:rsidRPr="00694A63" w:rsidRDefault="00694A63" w:rsidP="00694A63">
      <w:pPr>
        <w:pStyle w:val="IQB-Teilaufgabentitel"/>
        <w:rPr>
          <w:b/>
        </w:rPr>
      </w:pPr>
      <w:r w:rsidRPr="00694A63">
        <w:rPr>
          <w:b/>
        </w:rPr>
        <w:t>Aufgabenbezogener Kommentar</w:t>
      </w:r>
    </w:p>
    <w:p w:rsidR="009E2107" w:rsidRPr="00CA4F42" w:rsidRDefault="009E2107" w:rsidP="009E2107">
      <w:pPr>
        <w:pStyle w:val="IQB-AnweisungenText"/>
        <w:spacing w:before="0"/>
        <w:rPr>
          <w:rFonts w:ascii="Arial" w:hAnsi="Arial"/>
          <w:sz w:val="22"/>
          <w:szCs w:val="22"/>
        </w:rPr>
      </w:pPr>
      <w:r w:rsidRPr="00CA4F42">
        <w:rPr>
          <w:rFonts w:ascii="Arial" w:hAnsi="Arial"/>
          <w:sz w:val="22"/>
          <w:szCs w:val="22"/>
        </w:rPr>
        <w:t xml:space="preserve">Diese Aufgabe ist der </w:t>
      </w:r>
      <w:r w:rsidRPr="00AC3174">
        <w:rPr>
          <w:rFonts w:ascii="Arial" w:hAnsi="Arial"/>
          <w:sz w:val="22"/>
          <w:szCs w:val="22"/>
        </w:rPr>
        <w:t>Leitidee</w:t>
      </w:r>
      <w:r w:rsidRPr="00934AE1">
        <w:rPr>
          <w:rFonts w:ascii="Arial" w:hAnsi="Arial"/>
          <w:i/>
          <w:sz w:val="22"/>
          <w:szCs w:val="22"/>
        </w:rPr>
        <w:t xml:space="preserve"> Funktionaler Zusammenhang</w:t>
      </w:r>
      <w:r w:rsidRPr="00CA4F42">
        <w:rPr>
          <w:rFonts w:ascii="Arial" w:hAnsi="Arial"/>
          <w:sz w:val="22"/>
          <w:szCs w:val="22"/>
        </w:rPr>
        <w:t xml:space="preserve"> (L4) zugeordnet, da sich die Schülerinnen und Schüler mit einer funktionalen Beziehung zwischen der Anzahl bedruckter Bögen und der Zeit auseinandersetzen. </w:t>
      </w:r>
    </w:p>
    <w:p w:rsidR="009E2107" w:rsidRPr="009E2107" w:rsidRDefault="009E2107" w:rsidP="009E2107">
      <w:pPr>
        <w:pStyle w:val="IQB-AnweisungenText"/>
        <w:rPr>
          <w:rFonts w:ascii="Arial" w:hAnsi="Arial"/>
          <w:sz w:val="22"/>
          <w:szCs w:val="22"/>
        </w:rPr>
      </w:pPr>
      <w:r w:rsidRPr="00CA4F42">
        <w:rPr>
          <w:rFonts w:ascii="Arial" w:hAnsi="Arial"/>
          <w:sz w:val="22"/>
          <w:szCs w:val="22"/>
        </w:rPr>
        <w:t xml:space="preserve">Es ist in beiden Teilaufgaben erforderlich, zwischen Realität und Mathematik hin- und herzuwechseln und ein geeignetes mathematisches Modell zum Lösen des realen Problems zu finden. Damit wird </w:t>
      </w:r>
      <w:r>
        <w:rPr>
          <w:rFonts w:ascii="Arial" w:hAnsi="Arial"/>
          <w:sz w:val="22"/>
          <w:szCs w:val="22"/>
        </w:rPr>
        <w:t xml:space="preserve">die Kompetenz </w:t>
      </w:r>
      <w:r>
        <w:rPr>
          <w:rFonts w:ascii="Arial" w:hAnsi="Arial"/>
          <w:i/>
          <w:sz w:val="22"/>
          <w:szCs w:val="22"/>
        </w:rPr>
        <w:t>Mathematisch</w:t>
      </w:r>
      <w:r w:rsidRPr="000F2E68">
        <w:rPr>
          <w:rFonts w:ascii="Arial" w:hAnsi="Arial"/>
          <w:i/>
          <w:sz w:val="22"/>
          <w:szCs w:val="22"/>
        </w:rPr>
        <w:t xml:space="preserve"> modellieren</w:t>
      </w:r>
      <w:r w:rsidRPr="00CA4F42">
        <w:rPr>
          <w:rFonts w:ascii="Arial" w:hAnsi="Arial"/>
          <w:sz w:val="22"/>
          <w:szCs w:val="22"/>
        </w:rPr>
        <w:t xml:space="preserve"> (K3) notwendig. Zudem muss in </w:t>
      </w:r>
      <w:r w:rsidRPr="009E2107">
        <w:rPr>
          <w:rFonts w:ascii="Arial" w:hAnsi="Arial"/>
          <w:sz w:val="22"/>
          <w:szCs w:val="22"/>
        </w:rPr>
        <w:t xml:space="preserve">Form des Dreisatzes mit Mathematik technisch umgegangen werden (K5). </w:t>
      </w:r>
    </w:p>
    <w:p w:rsidR="009E2107" w:rsidRPr="009E2107" w:rsidRDefault="009E2107" w:rsidP="009E2107">
      <w:pPr>
        <w:spacing w:before="120" w:line="320" w:lineRule="atLeast"/>
        <w:rPr>
          <w:rFonts w:ascii="Arial" w:hAnsi="Arial" w:cs="Arial"/>
          <w:sz w:val="22"/>
          <w:szCs w:val="22"/>
        </w:rPr>
      </w:pPr>
      <w:r w:rsidRPr="009E2107">
        <w:rPr>
          <w:rFonts w:ascii="Arial" w:hAnsi="Arial" w:cs="Arial"/>
          <w:sz w:val="22"/>
          <w:szCs w:val="22"/>
        </w:rPr>
        <w:t>Aufgrund des für die Schülerinnen und Schüler elementaren Lösungsverfahrens gehört die Aufgabe in den Anfo</w:t>
      </w:r>
      <w:r w:rsidRPr="009E2107">
        <w:rPr>
          <w:rFonts w:ascii="Arial" w:hAnsi="Arial" w:cs="Arial"/>
          <w:sz w:val="22"/>
          <w:szCs w:val="22"/>
        </w:rPr>
        <w:t>r</w:t>
      </w:r>
      <w:r w:rsidRPr="009E2107">
        <w:rPr>
          <w:rFonts w:ascii="Arial" w:hAnsi="Arial" w:cs="Arial"/>
          <w:sz w:val="22"/>
          <w:szCs w:val="22"/>
        </w:rPr>
        <w:t>derungsbereich I.</w:t>
      </w:r>
    </w:p>
    <w:p w:rsidR="00694A63" w:rsidRPr="00694A63" w:rsidRDefault="00694A63" w:rsidP="00694A63">
      <w:pPr>
        <w:pStyle w:val="IQB-Teilaufgabentitel"/>
        <w:rPr>
          <w:b/>
        </w:rPr>
      </w:pPr>
      <w:r w:rsidRPr="00694A63">
        <w:rPr>
          <w:b/>
        </w:rPr>
        <w:t>Anregungen für den Unterricht</w:t>
      </w:r>
    </w:p>
    <w:p w:rsidR="009E2107" w:rsidRPr="00CA4F42" w:rsidRDefault="009E2107" w:rsidP="009E2107">
      <w:pPr>
        <w:pStyle w:val="IQB-AnweisungenText"/>
        <w:spacing w:before="0" w:after="120"/>
      </w:pPr>
      <w:r w:rsidRPr="00CA4F42">
        <w:rPr>
          <w:rFonts w:ascii="Arial" w:hAnsi="Arial"/>
          <w:sz w:val="22"/>
          <w:szCs w:val="22"/>
        </w:rPr>
        <w:t xml:space="preserve">Eine typische Fehllösung besteht darin, dass in Teilaufgabe 2 der Aufgabe „Druckmaschinen“ der </w:t>
      </w:r>
      <w:r>
        <w:rPr>
          <w:rFonts w:ascii="Arial" w:hAnsi="Arial"/>
          <w:sz w:val="22"/>
          <w:szCs w:val="22"/>
        </w:rPr>
        <w:t xml:space="preserve">antiproportionale Zusammenhang </w:t>
      </w:r>
      <w:r w:rsidRPr="00CA4F42">
        <w:rPr>
          <w:rFonts w:ascii="Arial" w:hAnsi="Arial"/>
          <w:sz w:val="22"/>
          <w:szCs w:val="22"/>
        </w:rPr>
        <w:t>als proportionaler Zusammenhang interpretiert wird</w:t>
      </w:r>
      <w:r>
        <w:rPr>
          <w:rFonts w:ascii="Arial" w:hAnsi="Arial"/>
          <w:sz w:val="22"/>
          <w:szCs w:val="22"/>
        </w:rPr>
        <w:t>, wie die</w:t>
      </w:r>
      <w:r w:rsidRPr="00CA4F42">
        <w:rPr>
          <w:rFonts w:ascii="Arial" w:hAnsi="Arial"/>
          <w:sz w:val="22"/>
          <w:szCs w:val="22"/>
        </w:rPr>
        <w:t xml:space="preserve"> folgende Schülerlösung </w:t>
      </w:r>
      <w:r>
        <w:rPr>
          <w:rFonts w:ascii="Arial" w:hAnsi="Arial"/>
          <w:sz w:val="22"/>
          <w:szCs w:val="22"/>
        </w:rPr>
        <w:t>zeigt</w:t>
      </w:r>
      <w:r w:rsidRPr="00CA4F42">
        <w:rPr>
          <w:rFonts w:ascii="Arial" w:hAnsi="Arial"/>
          <w:sz w:val="22"/>
          <w:szCs w:val="22"/>
        </w:rPr>
        <w:t>.</w:t>
      </w:r>
      <w:r w:rsidRPr="00CA4F42">
        <w:rPr>
          <w:noProof/>
        </w:rPr>
        <w:drawing>
          <wp:inline distT="0" distB="0" distL="0" distR="0">
            <wp:extent cx="4572000" cy="2612400"/>
            <wp:effectExtent l="19050" t="19050" r="19050" b="1651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a:picLocks noChangeAspect="1" noChangeArrowheads="1"/>
                    </pic:cNvPicPr>
                  </pic:nvPicPr>
                  <pic:blipFill>
                    <a:blip r:embed="rId8" cstate="print">
                      <a:extLst>
                        <a:ext uri="{28A0092B-C50C-407E-A947-70E740481C1C}">
                          <a14:useLocalDpi xmlns:a14="http://schemas.microsoft.com/office/drawing/2010/main" val="0"/>
                        </a:ext>
                      </a:extLst>
                    </a:blip>
                    <a:srcRect r="6876"/>
                    <a:stretch>
                      <a:fillRect/>
                    </a:stretch>
                  </pic:blipFill>
                  <pic:spPr bwMode="auto">
                    <a:xfrm>
                      <a:off x="0" y="0"/>
                      <a:ext cx="4572000" cy="2612400"/>
                    </a:xfrm>
                    <a:prstGeom prst="rect">
                      <a:avLst/>
                    </a:prstGeom>
                    <a:noFill/>
                    <a:ln w="6350" cmpd="sng">
                      <a:solidFill>
                        <a:srgbClr val="000000"/>
                      </a:solidFill>
                      <a:miter lim="800000"/>
                      <a:headEnd/>
                      <a:tailEnd/>
                    </a:ln>
                    <a:effectLst/>
                  </pic:spPr>
                </pic:pic>
              </a:graphicData>
            </a:graphic>
          </wp:inline>
        </w:drawing>
      </w:r>
    </w:p>
    <w:p w:rsidR="009E2107" w:rsidRPr="00A578AF" w:rsidRDefault="009E2107" w:rsidP="009E2107">
      <w:pPr>
        <w:pStyle w:val="Beschriftung"/>
        <w:jc w:val="both"/>
        <w:rPr>
          <w:b w:val="0"/>
        </w:rPr>
      </w:pPr>
      <w:r w:rsidRPr="00A578AF">
        <w:rPr>
          <w:b w:val="0"/>
        </w:rPr>
        <w:t>Abbildung 1: Schülerlösung</w:t>
      </w:r>
    </w:p>
    <w:p w:rsidR="009E2107" w:rsidRDefault="009E2107" w:rsidP="009E2107">
      <w:pPr>
        <w:pStyle w:val="IQB-AnweisungenText"/>
        <w:rPr>
          <w:rFonts w:ascii="Arial" w:hAnsi="Arial"/>
          <w:sz w:val="22"/>
          <w:szCs w:val="22"/>
        </w:rPr>
      </w:pPr>
      <w:r w:rsidRPr="00CA4F42">
        <w:rPr>
          <w:rFonts w:ascii="Arial" w:hAnsi="Arial"/>
          <w:sz w:val="22"/>
          <w:szCs w:val="22"/>
        </w:rPr>
        <w:lastRenderedPageBreak/>
        <w:t>Zwar gelingt es der Schülerin in Teilaufgabe 1, den durch den Einleitungstext hergestellten Zusammenhang zwischen der Anzahl der Papierbögen und der benötigten Zeit herzustellen. In Teilaufgabe 2 verdoppelt die Schülerin die Zeit, die eine Druckmaschine für 60</w:t>
      </w:r>
      <w:r>
        <w:rPr>
          <w:rFonts w:ascii="Arial" w:hAnsi="Arial"/>
          <w:sz w:val="22"/>
          <w:szCs w:val="22"/>
        </w:rPr>
        <w:t>.</w:t>
      </w:r>
      <w:r w:rsidRPr="00CA4F42">
        <w:rPr>
          <w:rFonts w:ascii="Arial" w:hAnsi="Arial"/>
          <w:sz w:val="22"/>
          <w:szCs w:val="22"/>
        </w:rPr>
        <w:t>000 Bögen Papier benötigen würde und erhält so das falsche Ergebnis 8.</w:t>
      </w:r>
    </w:p>
    <w:p w:rsidR="009E2107" w:rsidRPr="00CA4F42" w:rsidRDefault="009E2107" w:rsidP="009E2107">
      <w:pPr>
        <w:pStyle w:val="IQB-AnweisungenText"/>
        <w:rPr>
          <w:rFonts w:ascii="Arial" w:hAnsi="Arial"/>
          <w:sz w:val="22"/>
          <w:szCs w:val="22"/>
        </w:rPr>
      </w:pPr>
      <w:bookmarkStart w:id="0" w:name="_GoBack"/>
      <w:bookmarkEnd w:id="0"/>
      <w:r w:rsidRPr="00CA4F42">
        <w:rPr>
          <w:rFonts w:ascii="Arial" w:hAnsi="Arial"/>
          <w:sz w:val="22"/>
          <w:szCs w:val="22"/>
        </w:rPr>
        <w:t xml:space="preserve">Bezogen auf Modellierungsaufgaben spielt der Schritt der </w:t>
      </w:r>
      <w:r w:rsidRPr="00CA4F42">
        <w:rPr>
          <w:rFonts w:ascii="Arial" w:hAnsi="Arial"/>
          <w:i/>
          <w:sz w:val="22"/>
          <w:szCs w:val="22"/>
        </w:rPr>
        <w:t>Validierung</w:t>
      </w:r>
      <w:r w:rsidRPr="00CA4F42">
        <w:rPr>
          <w:rFonts w:ascii="Arial" w:hAnsi="Arial"/>
          <w:sz w:val="22"/>
          <w:szCs w:val="22"/>
        </w:rPr>
        <w:t xml:space="preserve"> eine wichtige Rolle. Die Schülerin hätte durch eine einfache Validierung erkennen können, dass die von Ihr gegebene Antwort nicht stimmen kann. Michael Marxer</w:t>
      </w:r>
      <w:r w:rsidRPr="00CA4F42">
        <w:rPr>
          <w:rStyle w:val="Funotenzeichen"/>
          <w:rFonts w:ascii="Arial" w:hAnsi="Arial"/>
          <w:sz w:val="22"/>
          <w:szCs w:val="22"/>
        </w:rPr>
        <w:footnoteReference w:id="1"/>
      </w:r>
      <w:r w:rsidRPr="00CA4F42">
        <w:rPr>
          <w:rFonts w:ascii="Arial" w:hAnsi="Arial"/>
          <w:sz w:val="22"/>
          <w:szCs w:val="22"/>
        </w:rPr>
        <w:t xml:space="preserve"> zeigt in seinem Artikel „Validieren lernen“, wie das Überprüfen eines Ergebnisses in komplexeren Modellierungsaufgaben</w:t>
      </w:r>
      <w:r>
        <w:rPr>
          <w:rFonts w:ascii="Arial" w:hAnsi="Arial"/>
          <w:sz w:val="22"/>
          <w:szCs w:val="22"/>
        </w:rPr>
        <w:t xml:space="preserve"> gelingen kann. Dazu gilt es z.</w:t>
      </w:r>
      <w:r w:rsidRPr="00A578AF">
        <w:rPr>
          <w:rFonts w:ascii="Arial" w:hAnsi="Arial"/>
          <w:sz w:val="12"/>
          <w:szCs w:val="12"/>
        </w:rPr>
        <w:t> </w:t>
      </w:r>
      <w:r>
        <w:rPr>
          <w:rFonts w:ascii="Arial" w:hAnsi="Arial"/>
          <w:sz w:val="22"/>
          <w:szCs w:val="22"/>
        </w:rPr>
        <w:t>B.</w:t>
      </w:r>
      <w:r w:rsidRPr="00CA4F42">
        <w:rPr>
          <w:rFonts w:ascii="Arial" w:hAnsi="Arial"/>
          <w:sz w:val="22"/>
          <w:szCs w:val="22"/>
        </w:rPr>
        <w:t xml:space="preserve"> zu klären, welche Anforderungen überhaupt an eine Lösung gestellt werden. Hierbei sollen laut Marxer verschiedene Spannungsfelder berücksichtigt werden, nach denen die Qualität einer Lösung bewertet werden kann.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224"/>
      </w:tblGrid>
      <w:tr w:rsidR="009E2107" w:rsidRPr="00CA4F42" w:rsidTr="00E73945">
        <w:tc>
          <w:tcPr>
            <w:tcW w:w="9224" w:type="dxa"/>
            <w:shd w:val="clear" w:color="auto" w:fill="auto"/>
          </w:tcPr>
          <w:p w:rsidR="009E2107" w:rsidRPr="00FE6928" w:rsidRDefault="009E2107" w:rsidP="00E73945">
            <w:pPr>
              <w:pStyle w:val="IQB-AnweisungenText"/>
              <w:spacing w:after="60"/>
              <w:rPr>
                <w:rFonts w:ascii="Arial" w:hAnsi="Arial"/>
                <w:sz w:val="22"/>
                <w:szCs w:val="22"/>
              </w:rPr>
            </w:pPr>
            <w:r w:rsidRPr="00FE6928">
              <w:rPr>
                <w:rFonts w:ascii="Arial" w:hAnsi="Arial"/>
                <w:sz w:val="22"/>
                <w:szCs w:val="22"/>
              </w:rPr>
              <w:t>Diese sind:</w:t>
            </w:r>
          </w:p>
          <w:p w:rsidR="009E2107" w:rsidRPr="00FE6928" w:rsidRDefault="009E2107" w:rsidP="009E2107">
            <w:pPr>
              <w:pStyle w:val="IQB-AnweisungenText"/>
              <w:numPr>
                <w:ilvl w:val="0"/>
                <w:numId w:val="14"/>
              </w:numPr>
              <w:spacing w:after="60"/>
              <w:jc w:val="both"/>
              <w:rPr>
                <w:rFonts w:ascii="Arial" w:hAnsi="Arial"/>
                <w:sz w:val="22"/>
                <w:szCs w:val="22"/>
              </w:rPr>
            </w:pPr>
            <w:r w:rsidRPr="00FE6928">
              <w:rPr>
                <w:rFonts w:ascii="Arial" w:hAnsi="Arial"/>
                <w:sz w:val="22"/>
                <w:szCs w:val="22"/>
              </w:rPr>
              <w:t>Schnelle Lösung vs. Zeitaufwändige Lösung</w:t>
            </w:r>
          </w:p>
          <w:p w:rsidR="009E2107" w:rsidRPr="00FE6928" w:rsidRDefault="009E2107" w:rsidP="009E2107">
            <w:pPr>
              <w:pStyle w:val="IQB-AnweisungenText"/>
              <w:numPr>
                <w:ilvl w:val="0"/>
                <w:numId w:val="14"/>
              </w:numPr>
              <w:spacing w:after="60"/>
              <w:jc w:val="both"/>
              <w:rPr>
                <w:rFonts w:ascii="Arial" w:hAnsi="Arial"/>
                <w:sz w:val="22"/>
                <w:szCs w:val="22"/>
              </w:rPr>
            </w:pPr>
            <w:r w:rsidRPr="00FE6928">
              <w:rPr>
                <w:rFonts w:ascii="Arial" w:hAnsi="Arial"/>
                <w:sz w:val="22"/>
                <w:szCs w:val="22"/>
              </w:rPr>
              <w:t>Präzise Daten vs. Abgeschätzte Daten</w:t>
            </w:r>
          </w:p>
          <w:p w:rsidR="009E2107" w:rsidRPr="00FE6928" w:rsidRDefault="009E2107" w:rsidP="009E2107">
            <w:pPr>
              <w:pStyle w:val="IQB-AnweisungenText"/>
              <w:numPr>
                <w:ilvl w:val="0"/>
                <w:numId w:val="14"/>
              </w:numPr>
              <w:spacing w:after="60"/>
              <w:jc w:val="both"/>
              <w:rPr>
                <w:rFonts w:ascii="Arial" w:hAnsi="Arial"/>
                <w:sz w:val="22"/>
                <w:szCs w:val="22"/>
              </w:rPr>
            </w:pPr>
            <w:r w:rsidRPr="00FE6928">
              <w:rPr>
                <w:rFonts w:ascii="Arial" w:hAnsi="Arial"/>
                <w:sz w:val="22"/>
                <w:szCs w:val="22"/>
              </w:rPr>
              <w:t>Übertragbare Lösung vs. Spezielle Lösung</w:t>
            </w:r>
          </w:p>
        </w:tc>
      </w:tr>
    </w:tbl>
    <w:p w:rsidR="009E2107" w:rsidRDefault="009E2107" w:rsidP="009E2107">
      <w:pPr>
        <w:pStyle w:val="IQB-AnweisungenText"/>
        <w:rPr>
          <w:rFonts w:ascii="Arial" w:hAnsi="Arial"/>
          <w:sz w:val="22"/>
          <w:szCs w:val="22"/>
        </w:rPr>
      </w:pPr>
      <w:r w:rsidRPr="00CA4F42">
        <w:rPr>
          <w:rFonts w:ascii="Arial" w:hAnsi="Arial"/>
          <w:sz w:val="22"/>
          <w:szCs w:val="22"/>
        </w:rPr>
        <w:t>Um gezielt die Teilkompetenz</w:t>
      </w:r>
      <w:r w:rsidRPr="00450F59">
        <w:rPr>
          <w:rFonts w:ascii="Arial" w:hAnsi="Arial"/>
          <w:i/>
          <w:sz w:val="22"/>
          <w:szCs w:val="22"/>
        </w:rPr>
        <w:t xml:space="preserve"> </w:t>
      </w:r>
      <w:r w:rsidRPr="004D237E">
        <w:rPr>
          <w:rFonts w:ascii="Arial" w:hAnsi="Arial"/>
          <w:i/>
          <w:sz w:val="22"/>
          <w:szCs w:val="22"/>
        </w:rPr>
        <w:t>Validieren</w:t>
      </w:r>
      <w:r w:rsidRPr="00CA4F42">
        <w:rPr>
          <w:rFonts w:ascii="Arial" w:hAnsi="Arial"/>
          <w:sz w:val="22"/>
          <w:szCs w:val="22"/>
        </w:rPr>
        <w:t xml:space="preserve"> zu fördern, lohnt es sich Aufgaben so zu stellen, dass nur dieser Aspekt einer Modellierung fokussiert wird. Dazu eignen sich beispielsweise Aufgaben mit (fehlerhaften) Lösungen, die es zu bewerten gilt. Auch hierzu finden sich Beispiele im genannten Artikel. Weitere Beispiele zu einem solchen Vorgehen finden sich unter anderem im Artikel „Das Validieren diagnostizieren“ von Gilbert </w:t>
      </w:r>
      <w:proofErr w:type="spellStart"/>
      <w:r w:rsidRPr="00CA4F42">
        <w:rPr>
          <w:rFonts w:ascii="Arial" w:hAnsi="Arial"/>
          <w:sz w:val="22"/>
          <w:szCs w:val="22"/>
        </w:rPr>
        <w:t>Greefrath</w:t>
      </w:r>
      <w:proofErr w:type="spellEnd"/>
      <w:r w:rsidRPr="00CA4F42">
        <w:rPr>
          <w:rStyle w:val="Funotenzeichen"/>
          <w:rFonts w:ascii="Arial" w:hAnsi="Arial"/>
          <w:sz w:val="22"/>
          <w:szCs w:val="22"/>
        </w:rPr>
        <w:footnoteReference w:id="2"/>
      </w:r>
      <w:r w:rsidRPr="00CA4F42">
        <w:rPr>
          <w:rFonts w:ascii="Arial" w:hAnsi="Arial"/>
          <w:sz w:val="22"/>
          <w:szCs w:val="22"/>
        </w:rPr>
        <w:t xml:space="preserve"> oder im Buch „Mathematisches Modellieren – Aufgaben für die Sekundarstufe I“ von Katja Maaß</w:t>
      </w:r>
      <w:r w:rsidRPr="00CA4F42">
        <w:rPr>
          <w:rStyle w:val="Funotenzeichen"/>
          <w:rFonts w:ascii="Arial" w:hAnsi="Arial"/>
          <w:sz w:val="22"/>
          <w:szCs w:val="22"/>
        </w:rPr>
        <w:footnoteReference w:id="3"/>
      </w:r>
      <w:r w:rsidRPr="00CA4F42">
        <w:rPr>
          <w:rFonts w:ascii="Arial" w:hAnsi="Arial"/>
          <w:sz w:val="22"/>
          <w:szCs w:val="22"/>
        </w:rPr>
        <w:t>.</w:t>
      </w:r>
    </w:p>
    <w:p w:rsidR="00694A63" w:rsidRPr="005B2F65" w:rsidRDefault="00694A63" w:rsidP="009E2107">
      <w:pPr>
        <w:pStyle w:val="IQB-AnweisungenText"/>
        <w:spacing w:before="0"/>
        <w:rPr>
          <w:sz w:val="22"/>
          <w:szCs w:val="22"/>
        </w:rPr>
      </w:pPr>
    </w:p>
    <w:sectPr w:rsidR="00694A63" w:rsidRPr="005B2F65" w:rsidSect="00DB65DC">
      <w:headerReference w:type="even" r:id="rId9"/>
      <w:headerReference w:type="default" r:id="rId10"/>
      <w:footerReference w:type="even" r:id="rId11"/>
      <w:footerReference w:type="default" r:id="rId12"/>
      <w:headerReference w:type="first" r:id="rId13"/>
      <w:footerReference w:type="first" r:id="rId14"/>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32CBD30E-8BF0-4D6D-9E29-B7B56EDD8CE9}"/>
    <w:embedBold r:id="rId2" w:fontKey="{99FA25E0-6397-4BB2-AD1A-6DD6F45BEEC0}"/>
    <w:embedItalic r:id="rId3" w:fontKey="{148474B2-33DD-4E5F-9F10-521627D47173}"/>
    <w:embedBoldItalic r:id="rId4" w:fontKey="{A9BF5021-E4A6-4A18-9A3C-EAB7349DCC8C}"/>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 w:id="1">
    <w:p w:rsidR="009E2107" w:rsidRPr="00A826F4" w:rsidRDefault="009E2107" w:rsidP="009E2107">
      <w:pPr>
        <w:pStyle w:val="Funotentext"/>
      </w:pPr>
      <w:r>
        <w:rPr>
          <w:rStyle w:val="Funotenzeichen"/>
        </w:rPr>
        <w:footnoteRef/>
      </w:r>
      <w:r>
        <w:t xml:space="preserve"> Marxer, Michael (2005): Validieren lernen (7.-10. Kl.), in: PM Praxis der Mathematik in der Schule 47/</w:t>
      </w:r>
      <w:r w:rsidRPr="00A826F4">
        <w:t>3,</w:t>
      </w:r>
      <w:r>
        <w:t xml:space="preserve"> S. 25-31.</w:t>
      </w:r>
    </w:p>
  </w:footnote>
  <w:footnote w:id="2">
    <w:p w:rsidR="009E2107" w:rsidRDefault="009E2107" w:rsidP="009E2107">
      <w:pPr>
        <w:pStyle w:val="Funotentext"/>
      </w:pPr>
      <w:r>
        <w:rPr>
          <w:rStyle w:val="Funotenzeichen"/>
        </w:rPr>
        <w:footnoteRef/>
      </w:r>
      <w:r>
        <w:t xml:space="preserve"> </w:t>
      </w:r>
      <w:proofErr w:type="spellStart"/>
      <w:r>
        <w:t>Greefrath</w:t>
      </w:r>
      <w:proofErr w:type="spellEnd"/>
      <w:r>
        <w:t xml:space="preserve">, Gilbert (2007): </w:t>
      </w:r>
      <w:r w:rsidRPr="00F11710">
        <w:t xml:space="preserve">Das Validieren diagnostizieren ‒ Ein genauer Blick auf eine wichtige </w:t>
      </w:r>
      <w:r>
        <w:t>Teilkompetenz beim Modellieren, in: PM Praxis des Mathematikunterrichts in der Schule, 49/15, S.</w:t>
      </w:r>
      <w:r>
        <w:rPr>
          <w:lang w:val="de-DE"/>
        </w:rPr>
        <w:t xml:space="preserve"> </w:t>
      </w:r>
      <w:r w:rsidRPr="00F11710">
        <w:t>42-44</w:t>
      </w:r>
      <w:r>
        <w:t>.</w:t>
      </w:r>
    </w:p>
  </w:footnote>
  <w:footnote w:id="3">
    <w:p w:rsidR="009E2107" w:rsidRDefault="009E2107" w:rsidP="009E2107">
      <w:pPr>
        <w:pStyle w:val="Funotentext"/>
      </w:pPr>
      <w:r>
        <w:rPr>
          <w:rStyle w:val="Funotenzeichen"/>
        </w:rPr>
        <w:footnoteRef/>
      </w:r>
      <w:r>
        <w:t xml:space="preserve"> </w:t>
      </w:r>
      <w:r>
        <w:t xml:space="preserve">Maaß, K. (2008): </w:t>
      </w:r>
      <w:r w:rsidRPr="003F3F6D">
        <w:t>Mathematisches Modellieren – Aufgaben für die Sekundarstufe I. Berlin: Cornelsen Scriptor.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28465C5"/>
    <w:multiLevelType w:val="hybridMultilevel"/>
    <w:tmpl w:val="F3ACC5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8"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10"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30D5EAC"/>
    <w:multiLevelType w:val="hybridMultilevel"/>
    <w:tmpl w:val="7D2EB29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3"/>
  </w:num>
  <w:num w:numId="3">
    <w:abstractNumId w:val="0"/>
  </w:num>
  <w:num w:numId="4">
    <w:abstractNumId w:val="13"/>
  </w:num>
  <w:num w:numId="5">
    <w:abstractNumId w:val="8"/>
  </w:num>
  <w:num w:numId="6">
    <w:abstractNumId w:val="10"/>
  </w:num>
  <w:num w:numId="7">
    <w:abstractNumId w:val="5"/>
  </w:num>
  <w:num w:numId="8">
    <w:abstractNumId w:val="1"/>
  </w:num>
  <w:num w:numId="9">
    <w:abstractNumId w:val="7"/>
  </w:num>
  <w:num w:numId="10">
    <w:abstractNumId w:val="9"/>
  </w:num>
  <w:num w:numId="11">
    <w:abstractNumId w:val="2"/>
  </w:num>
  <w:num w:numId="12">
    <w:abstractNumId w:val="6"/>
  </w:num>
  <w:num w:numId="13">
    <w:abstractNumId w:val="12"/>
  </w:num>
  <w:num w:numId="1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9420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41FAF"/>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2107"/>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534ED"/>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4209"/>
    <o:shapelayout v:ext="edit">
      <o:idmap v:ext="edit" data="1"/>
    </o:shapelayout>
  </w:shapeDefaults>
  <w:decimalSymbol w:val=","/>
  <w:listSeparator w:val=";"/>
  <w14:docId w14:val="73689B44"/>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 w:type="paragraph" w:styleId="Funotentext">
    <w:name w:val="footnote text"/>
    <w:basedOn w:val="Standard"/>
    <w:link w:val="FunotentextZchn"/>
    <w:rsid w:val="00F534ED"/>
    <w:rPr>
      <w:rFonts w:ascii="Arial" w:hAnsi="Arial"/>
      <w:sz w:val="20"/>
      <w:szCs w:val="20"/>
      <w:lang w:val="x-none" w:eastAsia="x-none"/>
    </w:rPr>
  </w:style>
  <w:style w:type="character" w:customStyle="1" w:styleId="FunotentextZchn">
    <w:name w:val="Fußnotentext Zchn"/>
    <w:basedOn w:val="Absatz-Standardschriftart"/>
    <w:link w:val="Funotentext"/>
    <w:rsid w:val="00F534ED"/>
    <w:rPr>
      <w:rFonts w:ascii="Arial" w:hAnsi="Arial"/>
      <w:lang w:val="x-none" w:eastAsia="x-none"/>
    </w:rPr>
  </w:style>
  <w:style w:type="character" w:styleId="Funotenzeichen">
    <w:name w:val="footnote reference"/>
    <w:rsid w:val="00F534E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6BB5BA-C2E9-4496-AA61-F2B4631BD1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399</Words>
  <Characters>2693</Characters>
  <Application>Microsoft Office Word</Application>
  <DocSecurity>0</DocSecurity>
  <Lines>59</Lines>
  <Paragraphs>41</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3051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2025-07-21T08:13:00Z</dcterms:created>
  <dcterms:modified xsi:type="dcterms:W3CDTF">2025-07-21T08:13:00Z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